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2018 року</w:t>
        <w:tab/>
        <w:tab/>
        <w:tab/>
        <w:tab/>
        <w:t xml:space="preserve">№ 227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0" w:right="-14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Стратегії забезпечення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0" w:right="-14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сталої відповіді на епідемії туберкульозу,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0" w:right="-14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тому числі хіміорезистентного,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0" w:right="-14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ВІЛ-інфекції/СНІДу на період до 2020 року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0" w:right="-14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затвердження плану заходів</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0" w:right="-14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її реалізації у Пустомитівському районі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356"/>
        </w:tabs>
        <w:spacing w:after="0" w:before="0" w:line="240" w:lineRule="auto"/>
        <w:ind w:left="0" w:right="-143"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статей 6,22,41 Закону України «Про місцеві державні адміністрації» , на виконання розпорядження Кабінету Міністрів України від 22 березня 2017 року № 248-р «Про схвалення Стратегії забезпечення сталої відповіді на епідемії туберкульозу, у тому числі хіміорезистентного, та ВІЛ-інфекції/СНІДу на період до 2020 року та затвердження Плану заходів щодо її реалізації,  розпорядження голови Львівської обласної державної адміністрації від 19.09.2017 № 882/0/5-17 «Про  затвердження Стратегії забезпечення сталої відповіді на епідемії туберкульозу, у тому числі хіміорезистентного та ВІЛ-інфекції/СНІДу на період до 2020року та затвердження  Плану заходів  щодо її реалізації у Львівській області :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1.Затвердити Стратегію забезпечення сталої відповіді на епідемії туберкульозу, у тому числі хіміорезистентного, та ВІЛ-інфекції/СНІДу на період до 2020 року (далі – Стратегія),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2.Затвердити план заходів щодо реалізації Стратегії забезпечення сталої відповіді на епідемії туберкульозу, у тому числі хіміорезистентного, та ВІЛ-інфекції/СНІДу на період до 2020 року у Пустомитівському районі  (далі – План заходів), додається.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3.Управлінню соціального захисту населення районної державної адміністрації (М.Степований) та відділу освіти районної державної адміністрації (М.Лісна) подавати щорічно до 10 лютого Комунальному закладу Пустомитівської районної ради «Пустомитівська ЦРЛ» (надалі- КЗ ПРР «Пустомитівська ЦРЛ») інформацію про стан виконання Плану заходів.</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4.КЗ ПРР «Пустомитівська ЦРЛ» забезпечувати щорічне подання в департамент охорони здоров'я Львівської обласної державної адміністрації звіт про хід виконання Стратегії та Плану заходів.</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 </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7" w:type="default"/>
          <w:headerReference r:id="rId8" w:type="first"/>
          <w:footerReference r:id="rId9" w:type="default"/>
          <w:footerReference r:id="rId10" w:type="first"/>
          <w:footerReference r:id="rId11" w:type="even"/>
          <w:pgSz w:h="11906" w:w="16838" w:orient="landscape"/>
          <w:pgMar w:bottom="1134" w:top="1134" w:left="1134"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 w:right="0" w:firstLine="5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 w:right="0" w:firstLine="5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 w:right="0" w:firstLine="5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 w:right="0" w:firstLine="5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22 березня 2018 року</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 w:right="0" w:firstLine="5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23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СТРАТЕГІЯ</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забезпечення сталої відповіді на епідемії туберкульозу, в тому числі хіміорезистентного, та ВІЛ-інфекції/СНІДу на період до 2020 року</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Проблема, яка потребує розв’язання</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Львівська область є стратегічно важливим регіоном, привабливим туристичним містом відпочинку для українців та іноземців. Львів розташований на перетині багатьох автомобільних, залізничних та повітряних шляхів, виконує функцію транзитного міста. Близьке розташування до кордонів інших країн, межування з такою країною Європейського Союзу як Польща та надання Україні безвізового режиму з Європейським Союзом з 11 червня 2017 року зумовлює постійні міграційні рухи. Через територію області проходять автомобільні та залізничні шляхи міжнародного та національного значення: Львів-Краків, Львів – Люблін, Київ – Чоп, Одеса - Львів. Розгалужена мережа магістралей та близьке розташування до країн Східної Європи сприяє постійному руху  заробітчан через кордон та міграції. За таких умов неухильне зростання інтенсивності розвитку епідемічного процесу ВІЛ-інфекції у Львівській області потребує планування заходів контролю епідемії. Незважаючи на те, що Львівська область належить до областей з низьким рівнем поширення ВІЛ-інфекції, лише кожна друга ВІЛ-позитивна особа знає про свій позитивний ВІЛ-статус, майже 50% пацієнтів звертається до медичних закладів у пізніх III-IV клінічних стадіях захворювання, а в понад 60% випадків діагнози ВІЛ-інфекція та СНІД встановлюються одночасно, що є вкрай високим показником.</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Високий рівень смертності від туберкульозу у хворих на СНІД зумовлений пізнім зверненням і є наслідком недостатнього поєднання профілактичних та лікувальних програм.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Актуальність Стратегії зумовлена необхідністю координації державної політики у сфері протидії туберкульозу та ВІЛ-інфекції/СНІДу, надання медико-соціальної допомоги хворим на туберкульоз, ВІЛ-інфекцію та</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ко-інфекцію ВІЛ/туберкульоз, профілактики цих захворювань та забезпечення надання цих послуг за рахунок бюджетних коштів.</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Стратегія визначає механізми забезпечення планування, реалізації та</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фінансування програм і заходів з профілактики, лікування, догляду та підтримки, у тому числі для представників найбільш уразливих груп, у сфері протидії туберкульозу та ВІЛ-інфекції/СНІДу на обласному та місцевому рівнях з урахуванням міжнародних рекомендацій та кращого досвіду.</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початку розвитку епідемії у Львівській області значний обсяг послуг, зокрема профілактичні втручання серед ключових груп населення (груп підвищеного ризику) щодо інфікування ВІЛ, догляд та підтримка людей, які живуть з ВІЛ, хворих на туберкульоз, програми замісної підтримувальної терапії впроваджувалися за кошти донорських організацій неурядовими (громадськими, благодійними, релігійними та іншими) організаціями, практично з мінімальним фінансуванням з боку держави.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умовах скорочення обсягів фінансової та технічної допомоги міжнародних організацій відсутність реальної фінансової підтримки з державного та місцевих бюджетів для подальшого впровадження медико-соціальних програм у сфері протидії туберкульозу та ВІЛ-інфекції/СНІДу несе ризики нівелювання багаторічних зусиль та загрожує погіршенням епідемічної ситуації у Львівській області щодо туберкульозу, ВІЛ-інфекції та ко-інфекції ВІЛ/туберкульоз.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Мета і строки реалізації Стратегії</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Метою Стратегії є забезпечення сталості впровадження пріоритетних заходів для подолання епідемій ВІЛ-інфекції/СНІДу та/або туберкульозу без переривання чи погіршення якості цих заходів в умовах поступового переходу з 2017 року від донорського фінансування (переважно за рахунок коштів Глобального фонду для боротьби зі СНІДом, туберкульозом та малярією) до бюджетного.</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Стратегію передбачається реалізувати до 2020 року.</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Основні напрями і шляхи реалізації Стратегії</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Удосконалення системи управління програмами протидії туберкульозу та ВІЛ-інфекції/СНІДу:</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продовження оптимізації протитуберкульозних закладів та їх кадрових ресурсів;</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впровадження амбулаторних моделей лікування хворих на туберкульоз;</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поширення стандартизованого підходу до всебічної, комплексної допомоги пацієнту для покращення прихильності до лікування шляхом впровадження пацієнт-орієнтованого пакету послуг для хворих на хіміорезистентний туберкульоз;</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скорочення термінів стаціонарного лікування (до знебацилення та при важкості стану);</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охоплення систематичним скринінгом на активний туберкульоз дорослого населення серед груп підвищеного ризику щодо захворювання на туберкульоз;</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дотримання вимог Стандарту інфекційного контролю за туберкульозом;</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підвищення рівня прозорості обміну інформацією про результати діяльності партнерських громадських об’єднань та органів влади шляхом удосконалення наявних механізмів обміну інформацією про програми і проекти протидії туберкульозу та ВІЛ-інфекції/СНІДу і сприяння поширенню інформації щодо результатів їх виконання серед представників органів влади, громадських об’єднань, міжнародних партнерів, донорських структур, які долучаються до виконання та фінансування таких програм та проектів.</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Фінансування заходів протидії соціально небезпечним захворюванням:</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збільшення обсягу фінансування заходів протидії соціально небезпечним захворюванням шляхом компенсації коштів Глобального фонду та інших донорів;</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забезпечення у межах наявних ресурсів пріоритетного планування та виділення коштів місцевих бюджетів на здійснення заходів протидії соціально небезпечним захворюванням, зокрема туберкульозу та ВІЛ-інфекції/СНІДу, виконання програм замісної підтримувальної терапії, що фінансувалися за рахунок коштів донорів.</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Удосконалення процесу організації та надання медичної допомоги і соціальних послуг:</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впровадження ефективного механізму планування, закупівлі та надання соціальних послуг з профілактики туберкульозу та ВІЛ-інфекції/СНІДу, догляду та супроводу осіб, які перебувають у складних життєвих обставинах, спричинених захворюваннями, належать до ключових груп населення (груп підвищеного ризику) щодо захворювання на туберкульоз та інфікування ВІЛ (захисні маски, одноразовий медичний інструмент);</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надання комплексних профілактичних послуг представникам ключових груп населення (груп підвищеного ризику) щодо захворювання на туберкульоз та ВІЛ-інфікування на базі лікувально-профілактичних закладів, виправних установ, об’єктів соціальної сфери, громадських організацій, мобільних пунктів/амбулаторій, аптек тощо.</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Посилення кадрового потенціалу та підвищення професійного рівня:</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включення до програм підготовки і підвищення кваліфікації лікарів первинної медичної допомоги питання щодо інфекційних захворювань (у тому числі туберкульозу та ВІЛ-інфекції/СНІДу) і навчання з послуг тестування на ВІЛ-інфекцію (ПТВ);</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інтеграції профілактичних послуг ключовим групам населення (представникам груп підвищеного ризику) щодо захворювання на туберкульоз та інфікування ВІЛ у систему надання медико-соціальної допомоги закладів охорони здоров’я, виправних установ і закладів, об’єктів соціальної сфери області;</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підвищення професійного рівня представників державних організацій та установ соціальної сфери, закладів охорони здоров’я, громадських і благодійних організацій для забезпечення сталого надання послуг хворим на туберкульоз, ВІЛ-інфікованим і хворим на СНІД, представникам груп підвищеного ризику захворювання на туберкульоз та інфікування ВІЛ.</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Удосконалення порядку здійснення епідеміологічного нагляду, моніторингу та оцінки заходів протидії туберкульозу та ВІЛ-інфекції/СНІДу:</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забезпечення повного переходу до електронної системи збору та проведення аналізу даних, у тому числі впровадження електронної медичної інформаційної системи «ВІЛ-інфекція в Україні» (МІС ВІЛ).</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Очікувані результати</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Ефективна реалізація Стратегії сприятиме впровадженню програм з протидії туберкульозу та ВІЛ-інфекції/СНІДу в довгостроковій перспективі без переривання чи нівелювання нинішніх досягнень у сфері охорони здоров’я.</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Стратегія спрямована на досягнення таких результатів:</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удосконалення актів місцевих органів виконавчої влади та органів місцевого самоврядування у сфері протидії туберкульозу та ВІЛ-інфекції відповідно до засад громадського здоров’я та міжнародних стандартів;</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удосконалення системи управління, ефективна міжвідомча координація протидії туберкульозу і ВІЛ-інфекції/СНІДу;</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зниження рівня залежності від зовнішнього фінансування для реалізації програм з протидії туберкульозу та ВІЛ-інфекції/СНІДу, ефективне використання наявних ресурсів;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стимулювання залучення коштів міжнародної технічної допомоги;</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оптимізація надання послуг, зокрема розширення цільової групи, якість, безперервність і координація допомоги;</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відповідне і безперервне кадрове забезпечення;</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вдосконалення системи підготовки кадрів з питань ВІЛ-інфекції/ СНІДу;</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вдосконалення системи моніторингу та оцінки, планування і реалізації політики, що заснована на фактичних даних;</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зниження рівня дискримінації;</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активної та значимої участі організацій громадянського суспільства та представників уразливих до туберкульозу та ВІЛ-інфекції груп.</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Реалізація Стратегії дасть змогу досягти цільових орієнтирів Комплекс-ного плану дій щодо боротьби з туберкульозом у Європейському регіоні Всесвітньої організації охорони здоров’я на 2016-2021 роки, а саме:</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зниження смертності від туберкульозу на 35 відсотків;</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зменшення рівня захворюваності на туберкульоз на 35 відсотків;</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підвищення показника успішності лікування хворих на мульти-резистентний туберкульоз як мінімум до 75 відсотків.</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Також очікується досягнення цілей стратегії Об’єднаної програми ООН з ВІЛ/СНІДу «Прискорення заходів», а саме:</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зменшення до 2030 року кількості нових випадків ВІЛ-інфекції на 90відсотків порівняно з 2010 роком;</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зменшення до 2030 року кількості смертей від СНІДу на 80 відсотків порівняно з 2010 роком;</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мінімізація випадків дискримінації людей, які живуть з ВІЛ.</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Нормативно-правове та фінансове забезпечення реалізації Стратегії</w:t>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забезпечення реалізації Стратегії здійснюється за рахунок коштів, передбачених у державному та місцевих бюджетах на відповідний рік державними органами, установами та  організаціями, відповідальними за виконання заходів, коштів міжнародної технічної допомоги та інших джерел,  не  заборонених законодавством.</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1906" w:w="16838" w:orient="landscape"/>
          <w:pgMar w:bottom="1134" w:top="1134" w:left="1134" w:right="1134"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01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1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1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1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22 березня 2018 року</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1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ЗАХОДІВ</w:t>
      </w: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реалізації Стратегії забезпечення сталої відповіді на епідемії туберкульозу, в тому числі хіміорезистентного, </w:t>
      </w: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та ВІЛ-інфекції/СНІДу на період до 2020 року у Пустомитівському районі.</w:t>
      </w: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5404.999999999998" w:type="dxa"/>
        <w:jc w:val="left"/>
        <w:tblInd w:w="250.0" w:type="dxa"/>
        <w:tblLayout w:type="fixed"/>
        <w:tblLook w:val="0000"/>
      </w:tblPr>
      <w:tblGrid>
        <w:gridCol w:w="4534"/>
        <w:gridCol w:w="1627"/>
        <w:gridCol w:w="4069"/>
        <w:gridCol w:w="2092"/>
        <w:gridCol w:w="3008"/>
        <w:gridCol w:w="75"/>
        <w:tblGridChange w:id="0">
          <w:tblGrid>
            <w:gridCol w:w="4534"/>
            <w:gridCol w:w="1627"/>
            <w:gridCol w:w="4069"/>
            <w:gridCol w:w="2092"/>
            <w:gridCol w:w="3008"/>
            <w:gridCol w:w="75"/>
          </w:tblGrid>
        </w:tblGridChange>
      </w:tblGrid>
      <w:tr>
        <w:trPr>
          <w:trHeight w:val="620" w:hRule="atLeast"/>
        </w:trPr>
        <w:tc>
          <w:tcPr>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 заходу</w:t>
            </w:r>
            <w:r w:rsidDel="00000000" w:rsidR="00000000" w:rsidRPr="00000000">
              <w:rPr>
                <w:rtl w:val="0"/>
              </w:rPr>
            </w:r>
          </w:p>
        </w:tc>
        <w:tc>
          <w:tcPr>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Строк</w:t>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вико-нання</w:t>
            </w:r>
            <w:r w:rsidDel="00000000" w:rsidR="00000000" w:rsidRPr="00000000">
              <w:rPr>
                <w:rtl w:val="0"/>
              </w:rPr>
            </w:r>
          </w:p>
        </w:tc>
        <w:tc>
          <w:tcPr>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Відповідальні за виконання</w:t>
            </w:r>
            <w:r w:rsidDel="00000000" w:rsidR="00000000" w:rsidRPr="00000000">
              <w:rPr>
                <w:rtl w:val="0"/>
              </w:rPr>
            </w:r>
          </w:p>
        </w:tc>
        <w:tc>
          <w:tcPr>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Джерела фінансування</w:t>
            </w:r>
            <w:r w:rsidDel="00000000" w:rsidR="00000000" w:rsidRPr="00000000">
              <w:rPr>
                <w:rtl w:val="0"/>
              </w:rPr>
            </w:r>
          </w:p>
        </w:tc>
        <w:tc>
          <w:tcPr>
            <w:gridSpan w:val="2"/>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Індикатор оцінки результатів виконання</w:t>
            </w:r>
            <w:r w:rsidDel="00000000" w:rsidR="00000000" w:rsidRPr="00000000">
              <w:rPr>
                <w:rtl w:val="0"/>
              </w:rPr>
            </w:r>
          </w:p>
        </w:tc>
      </w:tr>
      <w:tr>
        <w:trPr>
          <w:trHeight w:val="200" w:hRule="atLeast"/>
        </w:trPr>
        <w:tc>
          <w:tcP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gridSpan w:val="2"/>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3"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r>
      <w:tr>
        <w:trPr>
          <w:trHeight w:val="200" w:hRule="atLeast"/>
        </w:trPr>
        <w:tc>
          <w:tcPr>
            <w:gridSpan w:val="5"/>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0"/>
                <w:szCs w:val="20"/>
                <w:u w:val="none"/>
                <w:shd w:fill="auto" w:val="clear"/>
                <w:vertAlign w:val="baseline"/>
                <w:rtl w:val="0"/>
              </w:rPr>
              <w:t xml:space="preserve">I.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Посилення управління у сфері виконання державних програм протидії туберкульозу та ВІЛ-інфекції/СНІДу</w:t>
            </w:r>
            <w:r w:rsidDel="00000000" w:rsidR="00000000" w:rsidRPr="00000000">
              <w:rPr>
                <w:rtl w:val="0"/>
              </w:rPr>
            </w:r>
          </w:p>
        </w:tc>
        <w:tc>
          <w:tcPr>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Передбачити у планах соціально-економічного розвитку адміністративно-територіальних одиниць питання протидії поширенню туберкульозу та ВІЛ-інфекції/СНІДу як компоненту гуманітарної сфери</w:t>
            </w:r>
          </w:p>
        </w:tc>
        <w:tc>
          <w:tcP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квартал</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року</w:t>
            </w:r>
          </w:p>
        </w:tc>
        <w:tc>
          <w:tcP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відділ економічного розвитку, інфраструктури та торгівлі районної державної адміністрації, органи місцевого самоврядування </w:t>
            </w:r>
          </w:p>
        </w:tc>
        <w:tc>
          <w:tcP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визначення завдання з протидії поширенню туберкульозу та ВІЛ-інфекції/СНІДу як пріоритету місцевих стратегій розвитку на період до 2020 року</w:t>
            </w:r>
          </w:p>
        </w:tc>
      </w:tr>
      <w:tr>
        <w:trPr>
          <w:trHeight w:val="200" w:hRule="atLeast"/>
        </w:trPr>
        <w:tc>
          <w:tcP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Забезпечити міжвідомчу та між секторальну координацію виконання програм та заходів протидії туберкульозу та ВІЛ-інфекції/ СНІДу шляхом організації ефективної роботи  районної координаційної ради з питань протидії ВІЛ-інфекції/СНІДу та іншим соціально небезпечним хворобам</w:t>
            </w:r>
          </w:p>
        </w:tc>
        <w:tc>
          <w:tcP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 “Пустомитівська ЦРЛ” спільно з відділами районної державної адміністрація, органи місцевого самоврядування, громадські організації</w:t>
            </w:r>
          </w:p>
        </w:tc>
        <w:tc>
          <w:tcP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щоквартальних планових засідань</w:t>
            </w:r>
          </w:p>
        </w:tc>
      </w:tr>
      <w:tr>
        <w:trPr>
          <w:trHeight w:val="200" w:hRule="atLeast"/>
        </w:trPr>
        <w:tc>
          <w:tcP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Забезпечити активний розвиток системи моніторингу та оцінки (МіО) у сферах протидії туберкульозу, наркоманії та ВІЛ-інфекції/СНІДу. Здійснювати МіО відповіді на епідемії відповідно до сформованого єдиного переліку регіональних показників, методів збирання і обробки, проведення аналізу для ухвалення управлінських рішень з коригування діяльності, зміни пріоритетів тощо.  </w:t>
            </w:r>
          </w:p>
        </w:tc>
        <w:tc>
          <w:tcP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w:t>
            </w:r>
          </w:p>
        </w:tc>
        <w:tc>
          <w:tcP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щорічна підготовка інформації </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інформаційно-аналітичним центром КЗ ПРР “Пустомитівська ЦРЛ”</w:t>
            </w:r>
          </w:p>
        </w:tc>
      </w:tr>
      <w:tr>
        <w:trPr>
          <w:trHeight w:val="200" w:hRule="atLeast"/>
        </w:trPr>
        <w:tc>
          <w:tcP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Використовувати електронний інструмент моніторингу антиретровірусних (АРВ) препаратів (поточний моніторинг руху та використання антиретровірусних препаратів) для автоматичного відстеження обсягу запасів і споживання АРВ-препаратів</w:t>
            </w:r>
          </w:p>
        </w:tc>
        <w:tc>
          <w:tcP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w:t>
            </w:r>
          </w:p>
        </w:tc>
        <w:tc>
          <w:tcP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відсутні перебої в наявності антиретровірусних препаратів</w:t>
            </w:r>
          </w:p>
        </w:tc>
      </w:tr>
      <w:tr>
        <w:trPr>
          <w:trHeight w:val="200" w:hRule="atLeast"/>
        </w:trPr>
        <w:tc>
          <w:tcP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Забезпечити надання необхідної інформації в режимі он-лайн для системи e-TB Manager (універсальної комп'ютерної програми управління процесами лікування ТБ та медикаментозно-стійкого ТБ) – електронного реєстру хворих на туберкульоз (єдиного інструменту, що грунтується на Web-технологіях, в якому об’єднані всі дані – випадки захворювання, протитуберкульозні та інші медпрепарати)</w:t>
            </w:r>
          </w:p>
        </w:tc>
        <w:tc>
          <w:tcP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w:t>
            </w:r>
          </w:p>
        </w:tc>
        <w:tc>
          <w:tcP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режимі онлайн для системи e-TB Manager надані дані на кожного хворого на туберкульоз</w:t>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Здійснювати підготовку фахівців різних галузей з актуальних питань протидії туберкульозу, наркоманії та ВІЛ-інфекції/СНІДу на базі Львівського міжрегіонального тренінгового центру</w:t>
            </w:r>
          </w:p>
        </w:tc>
        <w:tc>
          <w:tcP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w:t>
            </w:r>
          </w:p>
        </w:tc>
        <w:tc>
          <w:tcP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забезпечено підготовку фахівців різних спеціальностей відповідно до затвердженого графіка тренінгів</w:t>
            </w:r>
          </w:p>
        </w:tc>
      </w:tr>
      <w:tr>
        <w:trPr>
          <w:trHeight w:val="200" w:hRule="atLeast"/>
        </w:trPr>
        <w:tc>
          <w:tcP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Вважати самотестування на ВІЛ (ВІЛ-СТ) одним із підходів послуг з тестування на виявлення ВІЛ-інфекції (ПТВ) за межами ЗОЗ, який може збільшувати масштаби користування тестуванням на ВІЛ серед тих, хто не охоплений іншими послугами тестування, надаючи людям можливість провести тестування в конфіденційних та зручних умовах</w:t>
            </w:r>
          </w:p>
        </w:tc>
        <w:tc>
          <w:tcP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охорони здоров’я району</w:t>
            </w:r>
          </w:p>
        </w:tc>
        <w:tc>
          <w:tcP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розширені масштаби тестування на виявлення ВІЛ-інфекції</w:t>
            </w:r>
          </w:p>
        </w:tc>
      </w:tr>
      <w:tr>
        <w:trPr>
          <w:trHeight w:val="200" w:hRule="atLeast"/>
        </w:trPr>
        <w:tc>
          <w:tcP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Вважати послуги з тестування на ВІЛ навченими немедичними працівниками на рівні спільнот/ГО (ПТВ у ГО) одним із підходів ПТВ за межами ЗОЗ, який дозволяє значно розширити ПТВ для ключових категорій населення та сприяє ранній діагностиці ВІЛ у осіб, які мають персональні бар’єри та рідко звертаються за медичною допомогою</w:t>
            </w:r>
          </w:p>
        </w:tc>
        <w:tc>
          <w:tcP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охорони здоров’я району, ВІЛ-сервісні неурядові організації області</w:t>
            </w:r>
          </w:p>
        </w:tc>
        <w:tc>
          <w:tcP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розширені масштаби тестування на виявлення ВІЛ-інфекції</w:t>
            </w:r>
          </w:p>
        </w:tc>
      </w:tr>
      <w:tr>
        <w:trPr>
          <w:trHeight w:val="200" w:hRule="atLeast"/>
        </w:trPr>
        <w:tc>
          <w:tcP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Інтегрувати ПТВ з подальшим медичним спостереженням у зв'язку з ВІЛ на рівні ЗОЗ первинної медичної допомоги. Надати ЗОЗ району  «Перелік станів, симптомів, захворювань, особливостей поведінки та інших причин, за яких особі пропонуються ПТВ, та кратність їх проведення»</w:t>
            </w:r>
          </w:p>
        </w:tc>
        <w:tc>
          <w:tcP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охорони здоров’я району, ВІЛ-сервісні неурядові організації області</w:t>
            </w:r>
          </w:p>
        </w:tc>
        <w:tc>
          <w:tcP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розширені масштаби тестування на виявлення ВІЛ-інфекції  шляхом запровадження ПТВ за підходом «активний вибір (active choice)» та пропонуються ПТВ всім особам, які належить до ключових груп населення (КГН) щодо інфікування ВІЛ, а також пацієнтам, які мають ВІЛ-індикаторні захворювання та стани</w:t>
            </w:r>
          </w:p>
        </w:tc>
      </w:tr>
      <w:tr>
        <w:trPr>
          <w:trHeight w:val="200" w:hRule="atLeast"/>
        </w:trPr>
        <w:tc>
          <w:tcP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Забезпечити в межах наявних ресурсів пріоритетного планування та виділення коштів з державного та місцевих бюджетів на здійснення заходів протидії соціально небезпечним захворюванням, зокрема на боротьбу з епідеміями туберкульозу, наркоманії та ВІЛ-інфекції/СНІДу, виконання програм замісної підтримувальної терапії, передбачених загальнодержавними програмами, що фінансувалися за рахунок коштів донорів</w:t>
            </w:r>
          </w:p>
        </w:tc>
        <w:tc>
          <w:tcP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рада, районна державна адміністрація, органи місцевого самоврядування,  громадські організації</w:t>
            </w:r>
          </w:p>
        </w:tc>
        <w:tc>
          <w:tcP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межах коштів, передбачених у державному та місцевих бюджетах на відповідний рік державним органам, установам та організаціям, відповідальним за виконання заходів</w:t>
            </w:r>
          </w:p>
        </w:tc>
        <w:tc>
          <w:tcPr>
            <w:gridSpan w:val="2"/>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фінансування відповідних загальнодержавних програм у повному обсязі</w:t>
            </w:r>
          </w:p>
        </w:tc>
      </w:tr>
      <w:tr>
        <w:trPr>
          <w:trHeight w:val="200" w:hRule="atLeast"/>
        </w:trPr>
        <w:tc>
          <w:tcPr>
            <w:vAlign w:val="top"/>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Підвищити рівень прозорості  обміну інформацією про результати діяльності партнерських громадських об’єднань та органів влади шляхом удосконалення наявних механізмів; обміну інформацією про програми і проекти протидії туберкульозу та ВІЛ-інфекції/ СНІДу і сприяти поширенню інформації щодо результатів їх виконання серед представників органів влади, громадських об’єднань, </w:t>
              <w:br w:type="textWrapping"/>
              <w:t xml:space="preserve">міжнародних партнерів, донорських структур, які долучаються до виконання та/або фінансування таких програм та проектів</w:t>
            </w:r>
          </w:p>
        </w:tc>
        <w:tc>
          <w:tcP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 до</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лютого</w:t>
            </w:r>
          </w:p>
        </w:tc>
        <w:tc>
          <w:tcP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органи місцевого самоврядування,  громадські об’єднання, благодійні, міжнародні організації</w:t>
            </w:r>
          </w:p>
        </w:tc>
        <w:tc>
          <w:tcP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оприлюднення не менше одного разу на рік упродовж періоду виконання програми чи проекту звітів про результати їх виконання шляхом публікації таких звітів на інтернет-ресурсах (офіційних порталах держадміністрацій та органів місцевого самоврядування, об’єднань територіальних громад, інтернет-сайтах проектів, програм, виконавців)</w:t>
            </w:r>
          </w:p>
        </w:tc>
      </w:tr>
      <w:tr>
        <w:trPr>
          <w:trHeight w:val="200" w:hRule="atLeast"/>
        </w:trPr>
        <w:tc>
          <w:tcPr>
            <w:gridSpan w:val="5"/>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 Удосконалення процесу організації та надання медичної допомоги і соціальних послуг</w:t>
            </w:r>
            <w:r w:rsidDel="00000000" w:rsidR="00000000" w:rsidRPr="00000000">
              <w:rPr>
                <w:rtl w:val="0"/>
              </w:rPr>
            </w:r>
          </w:p>
        </w:tc>
        <w:tc>
          <w:tcPr>
            <w:vAlign w:val="top"/>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Забезпечити збір, узагальнення інформації та визначення пріоритетів з урахуванням потреб населення у соціальних послугах з профілактики туберкульозу та ВІЛ-інфекції/СНІДу, догляду, соціального супроводу/патронажу сімей та осіб, які перебувають у складних життєвих обставинах, спричинених захворюваннями на туберкульоз і ВІЛ-інфекцію/СНІД, належать до груп підвищеного ризику захворювання на туберкульоз та інфікування ВІЛ згідно з порядком визначення потреб населення адміністративно-територіальної одиниці у соціальних послугах, затвердженим наказом Мінсоцполітики від 20 січня 2014 року № 28</w:t>
            </w:r>
          </w:p>
        </w:tc>
        <w:tc>
          <w:tcPr>
            <w:vAlign w:val="top"/>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 до 1 лютого</w:t>
            </w:r>
          </w:p>
        </w:tc>
        <w:tc>
          <w:tcP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головні  лікарі АЗПСМ спільно з управлінням соціального захисту населення районної державної адміністрації,</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органами місцевого самоврядування та Пустомитівським районним центом соціальних служб для сім’ї, дітей та молоді</w:t>
            </w:r>
          </w:p>
        </w:tc>
        <w:tc>
          <w:tcPr>
            <w:vAlign w:val="top"/>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розроблення регіональних/місцевих планів надання соціальних послуг з профілактики туберкульозу та ВІЛ/СНІДу, догляду, соціального супроводу та осіб, які перебувають у складних життєвих обставинах, спричинених захворюваннями на туберкульоз та ВІЛ-інфекцію/ СНІД, належать до груп ризику захворювання на туберкульоз та ВІЛ з урахуванням потреб</w:t>
            </w:r>
          </w:p>
        </w:tc>
      </w:tr>
      <w:tr>
        <w:trPr>
          <w:trHeight w:val="5500" w:hRule="atLeast"/>
        </w:trPr>
        <w:tc>
          <w:tcPr>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Забезпечити планування і закупівлю соціальних послуг з профілактики туберкульозу і ВІЛ-інфекції/СНІДу, догляду, соціального супроводу осіб, які перебувають у складних життєвих обставинах, спричинених захворюваннями на туберкульоз та ВІЛ-інфекцію/ СНІД, належать до груп підвищеного ризику захворювання на туберкульоз та інфікування ВІЛ, відповідно до порядку соціального замовлення за рахунок бюджетних коштів, затвердженого постановою Кабінету Міністрів України від </w:t>
              <w:br w:type="textWrapping"/>
              <w:t xml:space="preserve">29 квітня 2013 р. № 324 (Офіційний вісник України, 2013 р., № 36, ст. 1265)</w:t>
            </w:r>
          </w:p>
        </w:tc>
        <w:tc>
          <w:tcP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рада, районна державна адміністрація , органи місцевого самоврядування</w:t>
            </w:r>
          </w:p>
        </w:tc>
        <w:tc>
          <w:tcP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щорічних конкурсів та виділення бюджетних коштів для закупівлі соціальних послуг з профілактики туберкульозу та ВІЛ-інфекції/ СНІДу, догляду, соціального супроводу осіб, які перебувають у складних життєвих обставинах, спричинених захворюваннями на туберкульоз та ВІЛ-інфекцію/</w:t>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СНІД, належать до груп підвищеного ризику захворювання на туберкульоз та інфікування ВІЛ</w:t>
            </w:r>
          </w:p>
        </w:tc>
      </w:tr>
      <w:tr>
        <w:trPr>
          <w:trHeight w:val="200" w:hRule="atLeast"/>
        </w:trPr>
        <w:tc>
          <w:tcPr>
            <w:gridSpan w:val="5"/>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III . Посилення прихильності хворих до лікування туберкульозу та ВІЛ-інфекції/СНІДу</w:t>
            </w:r>
            <w:r w:rsidDel="00000000" w:rsidR="00000000" w:rsidRPr="00000000">
              <w:rPr>
                <w:rtl w:val="0"/>
              </w:rPr>
            </w:r>
          </w:p>
        </w:tc>
        <w:tc>
          <w:tcPr>
            <w:vAlign w:val="top"/>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vAlign w:val="top"/>
          </w:tcPr>
          <w:p w:rsidR="00000000" w:rsidDel="00000000" w:rsidP="00000000" w:rsidRDefault="00000000" w:rsidRPr="00000000" w14:paraId="000000FD">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взяття під медичний нагляд пацієнтів з позитивним результатом підтверджувального тестування на ВІЛ протягом 30 діб з дати проведення дослідження</w:t>
            </w:r>
          </w:p>
        </w:tc>
        <w:tc>
          <w:tcP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Заклади охорони здоров’я району, ВІЛ-сервісні неурядові організації</w:t>
            </w:r>
          </w:p>
        </w:tc>
        <w:tc>
          <w:tcP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потребує</w:t>
            </w:r>
          </w:p>
        </w:tc>
        <w:tc>
          <w:tcPr>
            <w:gridSpan w:val="2"/>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щонайменше 90% виявлених ВІЛ-позитивних перебувають під медичним спостереженням. Забезпечений якнайшвидший зв’язок ВІЛ-позитивного пацієнта з послугами лікування ВІЛ та ранній початок АРТ (активне перенаправлення та зв’язок з послугами лікування  з обов’язковим моніторингом успішного залучення пацієнта з ВІЛ-позитивним результатом тестування до послуг з лікування ВІЛ та призначення АРТ)</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gridSpan w:val="5"/>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ІV. Забезпечення надання комплексних профілактичних послуг представникам ключових груп населення (груп підвищеного ризику) щодо захворювання на туберкульоз та інфікування ВІЛ на базі лікувально-профілактичних закладів, виправних установ, об’єктів соціальної сфери, громадських організацій, мобільних пунктів/амбулаторій, аптек тощо</w:t>
            </w:r>
            <w:r w:rsidDel="00000000" w:rsidR="00000000" w:rsidRPr="00000000">
              <w:rPr>
                <w:rtl w:val="0"/>
              </w:rPr>
            </w:r>
          </w:p>
        </w:tc>
        <w:tc>
          <w:tcPr>
            <w:vAlign w:val="top"/>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Забезпечити умови для проведення тестування за допомогою швидких тестів на ВІЛ і розповсюдження шприців серед людей, які вживають ін’єкційні наркотики (ЛВІН) на базі лікувально-профілактичних закладів </w:t>
            </w:r>
          </w:p>
        </w:tc>
        <w:tc>
          <w:tcP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органи місцевого самоврядування, громадські об’єднання, благодійні та міжнародні організації, заклади охорони здоров’я району</w:t>
            </w:r>
          </w:p>
        </w:tc>
        <w:tc>
          <w:tcP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впровадження профілактичних програм для споживачів ін’єкційних наркотиків на базі лікувально-профілактичних закладів</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gridSpan w:val="5"/>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 Фінансування заходів протидії соціально небезпечним захворюванням</w:t>
            </w:r>
            <w:r w:rsidDel="00000000" w:rsidR="00000000" w:rsidRPr="00000000">
              <w:rPr>
                <w:rtl w:val="0"/>
              </w:rPr>
            </w:r>
          </w:p>
        </w:tc>
        <w:tc>
          <w:tcPr>
            <w:vAlign w:val="top"/>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vAlign w:val="top"/>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Під час бюджетного планування та підготовки бюджетних прогнозів на місцевому рівні передбачити ресурси на здійснення заходів протидії соціально небезпечним захворюванням</w:t>
            </w:r>
          </w:p>
        </w:tc>
        <w:tc>
          <w:tcPr>
            <w:vAlign w:val="top"/>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рік</w:t>
            </w:r>
          </w:p>
        </w:tc>
        <w:tc>
          <w:tcP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спільно з відділами районної державної адміністрації, органи місцевого самоврядування, громадські організації</w:t>
            </w:r>
          </w:p>
        </w:tc>
        <w:tc>
          <w:tcPr>
            <w:vAlign w:val="top"/>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бюджетних прогнозів з урахуванням поетапної компенсації фінансування Глобального фонду та інших донорів і зменшення фінансового дефіциту програм у сфері соціально небезпечних захворювань</w:t>
            </w:r>
          </w:p>
        </w:tc>
      </w:tr>
      <w:tr>
        <w:trPr>
          <w:trHeight w:val="200" w:hRule="atLeast"/>
        </w:trPr>
        <w:tc>
          <w:tcPr>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Визначити при плануванні ра- йонного та місцевих бюджетів пріоритетні напрями здійснення заходів протидії соціально небезпечним захворюванням, зокрема на боротьбу з епідеміями туберкульозу та ВІЛ-інфекції/СНІДу, виконання програм замісної підтримувальної терапії, передбачених загальнодержавними програмами, що фінансувалися за рахунок коштів донорів </w:t>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спільно з відділами районної державної адміністрації, органи місцевого самоврядування, громадські організації</w:t>
            </w:r>
          </w:p>
        </w:tc>
        <w:tc>
          <w:tcPr>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межах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фінансування відповідних загальнодержавних програм у повному обсязі</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0" w:hRule="atLeast"/>
        </w:trPr>
        <w:tc>
          <w:tcPr>
            <w:gridSpan w:val="5"/>
            <w:vAlign w:val="top"/>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 Зниження рівня стигматизації і дискримінації у сфері надання послуг хворим на туберкульоз, людям, які живуть з ВІЛ, представникам ключових груп населення (груп підвищеного ризику) щодо захворювання на туберкульоз та інфікування ВІЛ з метою протидії поширенню туберкульозу та ВІЛ-інфекції/СНІДу.</w:t>
            </w:r>
            <w:r w:rsidDel="00000000" w:rsidR="00000000" w:rsidRPr="00000000">
              <w:rPr>
                <w:rtl w:val="0"/>
              </w:rPr>
            </w:r>
          </w:p>
        </w:tc>
        <w:tc>
          <w:tcPr>
            <w:vAlign w:val="top"/>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Align w:val="top"/>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Розробити і забезпечити виконання плану заходів щодо зниження рівня стигматизації та дискримінації (формування толерантного ставлення) хворих на туберкульоз, людей, які живуть з ВІЛ, представників ключових груп населення (груп підвищеного ризику) щодо захворювання на туберкульоз та інфікування ВІЛ (зокрема, шляхом проведення інформаційних кампаній, навчання для надавачів послуг, розроблення інформаційно-навчальної літератури)</w:t>
            </w:r>
          </w:p>
        </w:tc>
        <w:tc>
          <w:tcPr>
            <w:vAlign w:val="top"/>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районної державної адміністрації,  відділ освіти районної державної адміністрації,  громадські об’єднання, благодійні та міжнародні організації</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благодійних фондів, міжнародної технічної та фінансової допомоги, інших джерел, не заборонених законодавством</w:t>
            </w:r>
          </w:p>
        </w:tc>
        <w:tc>
          <w:tcPr>
            <w:gridSpan w:val="2"/>
            <w:vAlign w:val="top"/>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плану заходів щодо зниження рівня стигматизації та дискримінації хворих на туберкульоз, людей, які живуть з ВІЛ, представників груп підвищеного ризику захворювання на туберкульоз та інфікування ВІЛ</w:t>
            </w:r>
          </w:p>
        </w:tc>
      </w:tr>
      <w:tr>
        <w:trPr>
          <w:trHeight w:val="2600" w:hRule="atLeast"/>
        </w:trPr>
        <w:tc>
          <w:tcPr>
            <w:vAlign w:val="top"/>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Здійснювати моніторинг щодо дотримання прав пацієнтів та реагування на випадки стигматизації і дискримінації у сфері надання послуг хворим на туберкульоз, людям, які живуть з ВІЛ, представникам ключових груп населення (групам підвищеного ризику) щодо захворювання на туберкульоз та інфікування ВІЛ</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районної державної адміністрації, відділ освіти районної державної адміністрації, громадські об’єднання, благодійні та міжнародні організації</w:t>
            </w:r>
          </w:p>
        </w:tc>
        <w:tc>
          <w:tcPr>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благодійних фондів, міжнародної технічної та фінансової допомоги, інших джерел, не заборонених законодавством</w:t>
            </w:r>
          </w:p>
        </w:tc>
        <w:tc>
          <w:tcPr>
            <w:gridSpan w:val="2"/>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моніторингу дотримання законодавства з метою реалізації прав пацієнтів, розроблення і впровадження відповідної системи реагування</w:t>
            </w:r>
          </w:p>
        </w:tc>
      </w:tr>
      <w:tr>
        <w:trPr>
          <w:trHeight w:val="60" w:hRule="atLeast"/>
        </w:trPr>
        <w:tc>
          <w:tcPr>
            <w:gridSpan w:val="5"/>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VII. Очікувані результати виконання Стратегії забезпечення сталої відповіді на епідемії туберкульозу, в тому числі хіміорезистентного, визначення її ефективності</w:t>
            </w:r>
            <w:r w:rsidDel="00000000" w:rsidR="00000000" w:rsidRPr="00000000">
              <w:rPr>
                <w:rtl w:val="0"/>
              </w:rPr>
            </w:r>
          </w:p>
        </w:tc>
        <w:tc>
          <w:tcPr>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Виявлення нових випадків та рецидивів туберкульозу з КСБ «+» в лабораторіях І рівня (%)</w:t>
            </w:r>
          </w:p>
        </w:tc>
        <w:tc>
          <w:tcPr>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роки</w:t>
            </w:r>
          </w:p>
        </w:tc>
        <w:tc>
          <w:tcPr>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 головні лікарі АЗПСМ за участю органів місцевого самоврядування,  громадських об’єднань, благодійних організацій</w:t>
            </w:r>
          </w:p>
        </w:tc>
        <w:tc>
          <w:tcPr>
            <w:vAlign w:val="top"/>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 – 4,0%;</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2019 р. – 4,5%;</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2020 р. – 5%</w:t>
            </w:r>
          </w:p>
        </w:tc>
      </w:tr>
      <w:tr>
        <w:trPr>
          <w:trHeight w:val="300" w:hRule="atLeast"/>
        </w:trPr>
        <w:tc>
          <w:tcPr>
            <w:vAlign w:val="top"/>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Зниження захворюваності на туберкульоз (на 100 тис. населення)</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ВДТБ</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ВДТБ + РТБ</w:t>
            </w:r>
          </w:p>
        </w:tc>
        <w:tc>
          <w:tcPr>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роки</w:t>
            </w:r>
          </w:p>
        </w:tc>
        <w:tc>
          <w:tcPr>
            <w:vAlign w:val="top"/>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головні лікарі АЗПСМ  за участю органів місцевого самоврядування,  громадських об’єднань, благодійних організацій</w:t>
            </w:r>
          </w:p>
        </w:tc>
        <w:tc>
          <w:tcPr>
            <w:vAlign w:val="top"/>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 – до 59,0 на 100 тис. нас.;</w:t>
            </w:r>
          </w:p>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2019 р. – до 58,0 на 100 тис. нас.;</w:t>
            </w:r>
          </w:p>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2020 р. – до 57,0 на 100 тис. нас.</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 – до 77,0 на 100 тис. нас.;</w:t>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2019 р. – до 75,0 на 100 тис. нас.;</w:t>
            </w:r>
          </w:p>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2020 р. – до 73,0 на 100 тис. нас.</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Align w:val="top"/>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Зниження смертності від туберкульозу (на 100 тис. населення)</w:t>
            </w:r>
          </w:p>
        </w:tc>
        <w:tc>
          <w:tcPr>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роки</w:t>
            </w:r>
          </w:p>
        </w:tc>
        <w:tc>
          <w:tcPr>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головні лікарі АЗПСМ за участю органів місцевого самоврядування,  громадських об’єднань, благодійних організацій</w:t>
            </w:r>
          </w:p>
        </w:tc>
        <w:tc>
          <w:tcPr>
            <w:vAlign w:val="top"/>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 – до 11,0 на 100 тис. нас.;</w:t>
            </w:r>
          </w:p>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2019 р. – до 10,0 на 100 тис. нас.;</w:t>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2020 р. – до 9,0 на 100 тис. нас.</w:t>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Align w:val="top"/>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Ефективність лікування серед хворих на хіміорезистентний туберкульоз (%)</w:t>
            </w:r>
          </w:p>
        </w:tc>
        <w:tc>
          <w:tcPr>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w:t>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роки</w:t>
            </w:r>
          </w:p>
        </w:tc>
        <w:tc>
          <w:tcPr>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головні лікарі АЗПСМ за участі органів місцевого самоврядування,  громадських об’єднань, благодійних організацій</w:t>
            </w:r>
          </w:p>
        </w:tc>
        <w:tc>
          <w:tcPr>
            <w:vAlign w:val="top"/>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 – 60%;</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2019 р. – 70%;</w:t>
            </w:r>
          </w:p>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2020 р. – 75%</w:t>
            </w:r>
          </w:p>
        </w:tc>
      </w:tr>
      <w:tr>
        <w:trPr>
          <w:trHeight w:val="300" w:hRule="atLeast"/>
        </w:trPr>
        <w:tc>
          <w:tcPr>
            <w:vAlign w:val="top"/>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Охоплення систематичним скринінгом на активний туберкульоз дорослого населення серед груп підвищеного ризику щодо захворювання на туберкульоз (%)</w:t>
            </w:r>
          </w:p>
        </w:tc>
        <w:tc>
          <w:tcPr>
            <w:vAlign w:val="top"/>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роки</w:t>
            </w:r>
          </w:p>
        </w:tc>
        <w:tc>
          <w:tcPr>
            <w:vAlign w:val="top"/>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 головні лікарі АЗПСМ  за участю органів місцевого самоврядування, громадських об’єднань, благодійних організацій</w:t>
            </w:r>
          </w:p>
        </w:tc>
        <w:tc>
          <w:tcPr>
            <w:vAlign w:val="top"/>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рахунок коштів, передбачених у місцевих бюджетах на відповідний рік державним органам, установам та організаціям, відповідальним за виконання заходу</w:t>
            </w:r>
          </w:p>
        </w:tc>
        <w:tc>
          <w:tcPr>
            <w:gridSpan w:val="2"/>
            <w:vAlign w:val="top"/>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 – 75%;</w:t>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2019 р. – 80%;</w:t>
            </w:r>
          </w:p>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2020 р. – 85%</w:t>
            </w:r>
          </w:p>
        </w:tc>
      </w:tr>
      <w:tr>
        <w:trPr>
          <w:trHeight w:val="300" w:hRule="atLeast"/>
        </w:trPr>
        <w:tc>
          <w:tcPr>
            <w:vAlign w:val="top"/>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Співвідношення показника захворюваності на туберкульоз серед працівників закладів охорони здоров’я та показника захворюваності на туберкульоз серед населення</w:t>
            </w:r>
          </w:p>
        </w:tc>
        <w:tc>
          <w:tcPr>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2018-2020 роки</w:t>
            </w:r>
          </w:p>
        </w:tc>
        <w:tc>
          <w:tcPr>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w:t>
            </w:r>
          </w:p>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ЦРЛ”</w:t>
            </w:r>
          </w:p>
        </w:tc>
        <w:tc>
          <w:tcPr>
            <w:vAlign w:val="top"/>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2018 р. – 1:1;</w:t>
            </w:r>
          </w:p>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2019 р. – 1:1;</w:t>
            </w:r>
          </w:p>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2020 р. – 1:1.</w:t>
            </w:r>
          </w:p>
        </w:tc>
      </w:tr>
    </w:tbl>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1906" w:w="16838" w:orient="landscape"/>
      <w:pgMar w:bottom="1134" w:top="1134" w:left="1134"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2.%3."/>
      <w:lvlJc w:val="left"/>
      <w:pPr>
        <w:ind w:left="2160" w:hanging="180"/>
      </w:pPr>
      <w:rPr>
        <w:vertAlign w:val="baseline"/>
      </w:rPr>
    </w:lvl>
    <w:lvl w:ilvl="3">
      <w:start w:val="1"/>
      <w:numFmt w:val="decimal"/>
      <w:lvlText w:val="%2.%3.%4."/>
      <w:lvlJc w:val="left"/>
      <w:pPr>
        <w:ind w:left="2880" w:hanging="360"/>
      </w:pPr>
      <w:rPr>
        <w:vertAlign w:val="baseline"/>
      </w:rPr>
    </w:lvl>
    <w:lvl w:ilvl="4">
      <w:start w:val="1"/>
      <w:numFmt w:val="lowerLetter"/>
      <w:lvlText w:val="%2.%3.%4.%5."/>
      <w:lvlJc w:val="left"/>
      <w:pPr>
        <w:ind w:left="3600" w:hanging="360"/>
      </w:pPr>
      <w:rPr>
        <w:vertAlign w:val="baseline"/>
      </w:rPr>
    </w:lvl>
    <w:lvl w:ilvl="5">
      <w:start w:val="1"/>
      <w:numFmt w:val="lowerRoman"/>
      <w:lvlText w:val="%2.%3.%4.%5.%6."/>
      <w:lvlJc w:val="left"/>
      <w:pPr>
        <w:ind w:left="4320" w:hanging="180"/>
      </w:pPr>
      <w:rPr>
        <w:vertAlign w:val="baseline"/>
      </w:rPr>
    </w:lvl>
    <w:lvl w:ilvl="6">
      <w:start w:val="1"/>
      <w:numFmt w:val="decimal"/>
      <w:lvlText w:val="%2.%3.%4.%5.%6.%7."/>
      <w:lvlJc w:val="left"/>
      <w:pPr>
        <w:ind w:left="5040" w:hanging="360"/>
      </w:pPr>
      <w:rPr>
        <w:vertAlign w:val="baseline"/>
      </w:rPr>
    </w:lvl>
    <w:lvl w:ilvl="7">
      <w:start w:val="1"/>
      <w:numFmt w:val="lowerLetter"/>
      <w:lvlText w:val="%2.%3.%4.%5.%6.%7.%8."/>
      <w:lvlJc w:val="left"/>
      <w:pPr>
        <w:ind w:left="5760" w:hanging="360"/>
      </w:pPr>
      <w:rPr>
        <w:vertAlign w:val="baseline"/>
      </w:rPr>
    </w:lvl>
    <w:lvl w:ilvl="8">
      <w:start w:val="1"/>
      <w:numFmt w:val="lowerRoman"/>
      <w:lvlText w:val="%2.%3.%4.%5.%6.%7.%8.%9."/>
      <w:lvlJc w:val="lef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